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AbwAG — Pauschalierung bei Einleitung von verschmutztem Niederschlagswasser</w:t>
      </w:r>
    </w:p>
    <w:p>
      <w:r>
        <w:rPr>
          <w:color w:val="555555"/>
          <w:sz w:val="18"/>
        </w:rPr>
        <w:t xml:space="preserve">Abwasserabgabengesetz</w:t>
      </w:r>
    </w:p>
    <w:p>
      <w:r>
        <w:rPr>
          <w:color w:val="555555"/>
          <w:sz w:val="18"/>
        </w:rPr>
        <w:t xml:space="preserve">Stand: 10.06.2019 (konsolidierte Textfassung, kein amtliches Inkrafttretensdatum)</w:t>
      </w:r>
    </w:p>
    <w:p>
      <w:r>
        <w:t xml:space="preserve">(1) Die Zahl der Schadeinheiten von Niederschlagswasser, das über eine öffentliche Kanalisation eingeleitet wird, beträgt zwölf vom Hundert der Zahl der angeschlossenen Einwohner. Wird das Niederschlagswasser von befestigten gewerblichen Flächen über eine nichtöffentliche Kanalisation eingeleitet, sind der Abgabenberechnung 18 Schadeinheiten je volles Hektar zugrunde zu legen, wenn die befestigten gewerblichen Flächen größer als drei Hektar sind. Die Zahl der angeschlossenen Einwohner oder die Größe der befestigten Fläche kann geschätzt werden.</w:t>
      </w:r>
    </w:p>
    <w:p>
      <w:r>
        <w:t xml:space="preserve">(2) Die Länder können bestimmen, unter welchen Voraussetzungen die Einleitung von Niederschlagswasser ganz oder zum Teil abgabefrei bleibt.</w:t>
      </w:r>
    </w:p>
    <w:p>
      <w:r>
        <w:rPr>
          <w:color w:val="555555"/>
          <w:sz w:val="17"/>
        </w:rPr>
        <w:t xml:space="preserve">Zitiervorschlag: § 7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