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AbwAG — Ermittlung in sonstigen Fällen</w:t>
      </w:r>
    </w:p>
    <w:p>
      <w:r>
        <w:rPr>
          <w:color w:val="555555"/>
          <w:sz w:val="18"/>
        </w:rPr>
        <w:t xml:space="preserve">Abwasserabgabengesetz</w:t>
      </w:r>
    </w:p>
    <w:p>
      <w:r>
        <w:rPr>
          <w:color w:val="555555"/>
          <w:sz w:val="18"/>
        </w:rPr>
        <w:t xml:space="preserve">Stand: 10.06.2019 (konsolidierte Textfassung, kein amtliches Inkrafttretensdatum)</w:t>
      </w:r>
    </w:p>
    <w:p>
      <w:r>
        <w:t xml:space="preserve">(1) Soweit die zur Ermittlung der Schadeinheiten erforderlichen Festlegungen nicht in einem Bescheid nach § 4 Abs. 1 enthalten sind, hat der Einleiter spätestens einen Monat vor Beginn des Veranlagungszeitraums gegenüber der zuständigen Behörde zu erklären, welche für die Ermittlung der Schadeinheiten maßgebenden Überwachungswerte er im Veranlagungszeitraum einhalten wird. Kommt der Einleiter der Verpflichtung nach Satz 1 nicht nach, ist der Ermittlung der Schadeinheiten jeweils das höchste Messergebnis aus der behördlichen Überwachung zugrunde zu legen. Liegt kein Ergebnis aus der behördlichen Überwachung vor, hat die zuständige Behörde die Überwachungswerte zu schätzen. Die Jahresschmutzwassermenge wird bei der Ermittlung der Schadeinheiten geschätzt.</w:t>
      </w:r>
    </w:p>
    <w:p>
      <w:r>
        <w:t xml:space="preserve">(2) § 4 Abs. 2 bis 5 gilt entsprechend.</w:t>
      </w:r>
    </w:p>
    <w:p>
      <w:r>
        <w:rPr>
          <w:color w:val="555555"/>
          <w:sz w:val="17"/>
        </w:rPr>
        <w:t xml:space="preserve">Zitiervorschlag: § 6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