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AbwAG — Ordnungswidrigkeiten</w:t>
      </w:r>
    </w:p>
    <w:p>
      <w:r>
        <w:rPr>
          <w:color w:val="555555"/>
          <w:sz w:val="18"/>
        </w:rPr>
        <w:t xml:space="preserve">Abwasserabgabengesetz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11 Abs. 2 Satz 1 die Berechnungen oder Unterlagen nicht, nicht richtig oder nicht vollständig vorlegt,</w:t>
      </w:r>
    </w:p>
    <w:p>
      <w:pPr>
        <w:ind w:left="420"/>
      </w:pPr>
      <w:r>
        <w:t xml:space="preserve">2. entgegen § 11 Abs. 2 Satz 2 dem Abgabepflichtigen die notwendigen Daten oder Unterlagen nicht, nicht richtig oder nicht vollständig überlässt.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15 AbwAG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