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AbwAG — Anwendung von Straf- und Bußgeldvorschriften der Abgabenordnung</w:t>
      </w:r>
    </w:p>
    <w:p>
      <w:r>
        <w:rPr>
          <w:color w:val="555555"/>
          <w:sz w:val="18"/>
        </w:rPr>
        <w:t xml:space="preserve">Abwasserabgabengesetz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Hinterziehung von Abwasserabgaben gelten die Strafvorschriften des § 370 Abs. 1, 2 und 4 und des § 371 der Abgabenordnung (AO 1977) entsprechend, für die Verkürzung von Abwasserabgaben gilt die Bußgeldvorschrift des § 378 der Abgabenordnung (AO 1977) entsprechend.</w:t>
      </w:r>
    </w:p>
    <w:p>
      <w:r>
        <w:rPr>
          <w:color w:val="555555"/>
          <w:sz w:val="17"/>
        </w:rPr>
        <w:t xml:space="preserve">Zitiervorschlag: § 14 AbwAG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https://recht.nulegal.eu/gesetze/AbwAG/14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