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AbwAG — Rechtsbehelfe gegen die Heranziehung</w:t>
      </w:r>
    </w:p>
    <w:p>
      <w:r>
        <w:rPr>
          <w:color w:val="555555"/>
          <w:sz w:val="18"/>
        </w:rPr>
        <w:t xml:space="preserve">Abwasserabgabengesetz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Widerspruch und Anfechtungsklage gegen die Anforderung der Abgabe haben keine aufschiebende Wirkung. Satz 1 ist auch auf Bescheide anzuwenden, die vor dem 19. Dezember 1984 erlassen worden sind.</w:t>
      </w:r>
    </w:p>
    <w:p>
      <w:r>
        <w:rPr>
          <w:color w:val="555555"/>
          <w:sz w:val="17"/>
        </w:rPr>
        <w:t xml:space="preserve">Zitiervorschlag: § 12a AbwAG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https://recht.nulegal.eu/gesetze/AbwAG/12a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