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AbwAG — Verletzung der Erklärungspflicht</w:t>
      </w:r>
    </w:p>
    <w:p>
      <w:r>
        <w:rPr>
          <w:color w:val="555555"/>
          <w:sz w:val="18"/>
        </w:rPr>
        <w:t xml:space="preserve">Abwasserabgabengesetz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Kommt der Abgabepflichtige seinen Verpflichtungen nach § 11 Abs. 2 Satz 1 und den ergänzenden Vorschriften der Länder nicht nach, so kann die Zahl der Schadeinheiten von der zuständigen Behörde geschätzt werden.</w:t>
      </w:r>
    </w:p>
    <w:p>
      <w:r>
        <w:t xml:space="preserve">(2) Der Einleiter, der nach § 9 Abs. 2 oder 3 nicht abgabepflichtig ist, kann im Wege der Schätzung zur Abgabe herangezogen werden, wenn er seinen Verpflichtungen nach § 11 Abs. 2 Satz 2 und den ergänzenden Vorschriften der Länder nicht nachkommt. In diesem Fall haften der Abgabepflichtige und der Einleiter als Gesamtschuldner.</w:t>
      </w:r>
    </w:p>
    <w:p>
      <w:r>
        <w:rPr>
          <w:color w:val="555555"/>
          <w:sz w:val="17"/>
        </w:rPr>
        <w:t xml:space="preserve">Zitiervorschlag: § 12 AbwAG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https://recht.nulegal.eu/gesetze/AbwAG/12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