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AbwAG — Veranlagungszeitraum, Erklärungspflicht</w:t>
      </w:r>
    </w:p>
    <w:p>
      <w:r>
        <w:rPr>
          <w:color w:val="555555"/>
          <w:sz w:val="18"/>
        </w:rPr>
        <w:t xml:space="preserve">Abwasserabgabengesetz</w:t>
      </w:r>
    </w:p>
    <w:p>
      <w:r>
        <w:rPr>
          <w:color w:val="555555"/>
          <w:sz w:val="18"/>
        </w:rPr>
        <w:t xml:space="preserve">Stand: 10.06.2019 (konsolidierte Textfassung, kein amtliches Inkrafttretensdatum)</w:t>
      </w:r>
    </w:p>
    <w:p>
      <w:r>
        <w:t xml:space="preserve">(1) Veranlagungszeitraum ist das Kalenderjahr.</w:t>
      </w:r>
    </w:p>
    <w:p>
      <w:r>
        <w:t xml:space="preserve">(2) Der Abgabepflichtige hat in den Fällen der §§ 7 und 8 die Zahl der Schadeinheiten des Abwassers zu berechnen und die dazugehörigen Unterlagen der zuständigen Behörde vorzulegen. Ist der Abgabepflichtige nicht Einleiter (§ 9 Abs. 2 und 3), so hat der Einleiter dem Abgabepflichtigen die notwendigen Daten und Unterlagen zu überlassen.</w:t>
      </w:r>
    </w:p>
    <w:p>
      <w:r>
        <w:t xml:space="preserve">(3) Die Länder können bestimmen, dass der Abgabepflichtige auch in anderen Fällen die Zahl der Schadeinheiten des Abwassers zu berechnen, die für eine Schätzung erforderlichen Angaben zu machen und die dazugehörigen Unterlagen der zuständigen Behörde vorzulegen hat. Absatz 2 Satz 2 gilt entsprechend.</w:t>
      </w:r>
    </w:p>
    <w:p>
      <w:r>
        <w:rPr>
          <w:color w:val="555555"/>
          <w:sz w:val="17"/>
        </w:rPr>
        <w:t xml:space="preserve">Zitiervorschlag: § 11 AbwAG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