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AbwAG — Grundsatz</w:t>
      </w:r>
    </w:p>
    <w:p>
      <w:r>
        <w:rPr>
          <w:color w:val="555555"/>
          <w:sz w:val="18"/>
        </w:rPr>
        <w:t xml:space="preserve">Abwasserabgabengesetz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das Einleiten von Abwasser in ein Gewässer im Sinne von § 3 Nummer 1 bis 3 des Wasserhaushaltsgesetzes ist eine Abgabe zu entrichten (Abwasserabgabe). Sie wird durch die Länder erhoben.</w:t>
      </w:r>
    </w:p>
    <w:p>
      <w:r>
        <w:rPr>
          <w:color w:val="555555"/>
          <w:sz w:val="17"/>
        </w:rPr>
        <w:t xml:space="preserve">Zitiervorschlag: § 1 AbwAG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https://recht.nulegal.eu/gesetze/AbwAG/1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