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AbschlagsV</w:t>
      </w:r>
    </w:p>
    <w:p>
      <w:r>
        <w:rPr>
          <w:color w:val="555555"/>
          <w:sz w:val="18"/>
        </w:rPr>
        <w:t xml:space="preserve">Verordnung über Abschlagszahlungen bei Bauträgerverträgen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27a des AGB-Gesetzes in der Fassung der Bekanntmachung vom 29. Juni 2000 (BGBl. I S. 946) verordnet das Bundesministerium der Justiz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AbschlagsV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https://recht.nulegal.eu/gesetze/AbschlagsV/eingangsformel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