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2a AbschlagsV — Übergangsregelung</w:t>
      </w:r>
    </w:p>
    <w:p>
      <w:r>
        <w:rPr>
          <w:color w:val="555555"/>
          <w:sz w:val="18"/>
        </w:rPr>
        <w:t xml:space="preserve">Verordnung über Abschlagszahlungen bei Bauträgerverträgen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Verordnung ist in ihrer vom 1. Januar 2009 an geltenden Fassung nur auf Schuldverhältnisse anzuwenden, die seit diesem Tag entstanden sind.</w:t>
      </w:r>
    </w:p>
    <w:p>
      <w:r>
        <w:rPr>
          <w:color w:val="555555"/>
          <w:sz w:val="17"/>
        </w:rPr>
        <w:t xml:space="preserve">Zitiervorschlag: § 2a AbschlagsV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https://recht.nulegal.eu/gesetze/AbschlagsV/2a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