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AbschhVG (Brandenburg) — Arbeit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 Sicherheit und Ordnung der Abschiebungshafteinrichtung dies zulassen, soll den Abschiebungshäftlingen Arbeit mit einer entsprechenden</w:t>
      </w:r>
    </w:p>
    <w:p>
      <w:r>
        <w:t xml:space="preserve">Aufwandsentschädigung im Sinne von § 5 des Asylbewerberleistungsgesetzes gegeben werden.</w:t>
      </w:r>
    </w:p>
    <w:p>
      <w:r>
        <w:t xml:space="preserve">(2) Abschiebungshäftlinge haben bei der Aufrechterhaltung der Ordnung und Sauberkeit in ihrem Umfeld und bei der Ausgabe der Verpflegung mitzuwirken.</w:t>
      </w:r>
    </w:p>
    <w:p>
      <w:r>
        <w:rPr>
          <w:color w:val="555555"/>
          <w:sz w:val="17"/>
        </w:rPr>
        <w:t xml:space="preserve">Zitiervorschlag: § 9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