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AbschhVG (Brandenburg) — Verkehr mit der Außenwelt</w:t>
      </w:r>
    </w:p>
    <w:p>
      <w:r>
        <w:rPr>
          <w:color w:val="555555"/>
          <w:sz w:val="18"/>
        </w:rPr>
        <w:t xml:space="preserve">Abschiebungshaftvollzugsgesetz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Abschiebungshäftlinge dürfen zu den allgemein vorgegebenen Zeiten Besuch</w:t>
      </w:r>
    </w:p>
    <w:p>
      <w:r>
        <w:t xml:space="preserve">empfangen. Dieses Recht darf nur aus Gründen der Sicherheit und Ordnung</w:t>
      </w:r>
    </w:p>
    <w:p>
      <w:r>
        <w:t xml:space="preserve">eingeschränkt werden. Die Sätze 1 und 2 gelten nicht für Besuche durch</w:t>
      </w:r>
    </w:p>
    <w:p>
      <w:r>
        <w:t xml:space="preserve">Rechtsanwältinnen und Rechtsanwälte sowie durch Angehörige der zuständigen</w:t>
      </w:r>
    </w:p>
    <w:p>
      <w:r>
        <w:t xml:space="preserve">Konsularbehörden, die jederzeit erfolgen können.</w:t>
      </w:r>
    </w:p>
    <w:p>
      <w:r>
        <w:t xml:space="preserve">(2) Abschiebungshäftlinge dürfen grundsätzlich ohne Beschränkungen Briefe, Pakete, andere Post und Geschenke erhalten und auf eigene Kosten</w:t>
      </w:r>
    </w:p>
    <w:p>
      <w:r>
        <w:t xml:space="preserve">versenden.</w:t>
      </w:r>
    </w:p>
    <w:p>
      <w:r>
        <w:t xml:space="preserve">(3) Aus Gründen der Sicherheit können Sichtkontrollen der eingehenden Post vorgenommen werden. Weitergehende Überwachungen der Post sind bei konkretem Verdacht auf Gefährdung der Sicherheit der</w:t>
      </w:r>
    </w:p>
    <w:p>
      <w:r>
        <w:t xml:space="preserve">Anstalt oder einer Person zulässig. Die Maßnahme ist der betroffenen Person bekanntzugeben. Dabei ist</w:t>
      </w:r>
    </w:p>
    <w:p>
      <w:r>
        <w:t xml:space="preserve">sie darauf hinzuweisen, daß sie die Rechtmäßigkeit</w:t>
      </w:r>
    </w:p>
    <w:p>
      <w:r>
        <w:t xml:space="preserve">der Maßnahme vor Gericht überprüfen lassen kann.</w:t>
      </w:r>
    </w:p>
    <w:p>
      <w:r>
        <w:t xml:space="preserve">(4) Absatz 3 Satz 2 bis 4 gilt nicht für den Schriftwechsel mit Rechtsanwältinnen</w:t>
      </w:r>
    </w:p>
    <w:p>
      <w:r>
        <w:t xml:space="preserve">und Rechtsanwälten. Nicht überwacht werden ferner Schreiben der</w:t>
      </w:r>
    </w:p>
    <w:p>
      <w:r>
        <w:t xml:space="preserve">Abschiebungshäftlinge an Volksvertretungen des Bundes und der Länder sowie an</w:t>
      </w:r>
    </w:p>
    <w:p>
      <w:r>
        <w:t xml:space="preserve">deren Mitglieder, soweit die Schreiben an die Anschriften dieser</w:t>
      </w:r>
    </w:p>
    <w:p>
      <w:r>
        <w:t xml:space="preserve">Volksvertretungen gerichtet sind und die absendende Person zutreffend angeben.</w:t>
      </w:r>
    </w:p>
    <w:p>
      <w:r>
        <w:t xml:space="preserve">Entsprechendes gilt für Schreiben an das Europäische Parlament und dessen</w:t>
      </w:r>
    </w:p>
    <w:p>
      <w:r>
        <w:t xml:space="preserve">Mitglieder, den Europäischen Gerichtshof für Menschenrechte, den Europäischen</w:t>
      </w:r>
    </w:p>
    <w:p>
      <w:r>
        <w:t xml:space="preserve">Ausschuss zur Verhütung von Folter und unmenschlicher oder erniedrigender</w:t>
      </w:r>
    </w:p>
    <w:p>
      <w:r>
        <w:t xml:space="preserve">Behandlung oder Strafe, den Ausschuss der Vereinten Nationen gegen Folter, den</w:t>
      </w:r>
    </w:p>
    <w:p>
      <w:r>
        <w:t xml:space="preserve">zugehörigen Unterausschuss zur Verhütung von Folter und die entsprechenden</w:t>
      </w:r>
    </w:p>
    <w:p>
      <w:r>
        <w:t xml:space="preserve">nationalen Präventionsmechanismen, die konsularische Vertretung des Heimatlandes</w:t>
      </w:r>
    </w:p>
    <w:p>
      <w:r>
        <w:t xml:space="preserve">und weitere Einrichtungen, mit denen der Schriftverkehr aufgrund</w:t>
      </w:r>
    </w:p>
    <w:p>
      <w:r>
        <w:t xml:space="preserve">völkerrechtlicher Verpflichtungen der Bundesrepublik Deutschland geschützt ist.</w:t>
      </w:r>
    </w:p>
    <w:p>
      <w:r>
        <w:t xml:space="preserve">Satz 1 gilt auch für den Schriftverkehr mit Gerichten und Behörden sowie mit den</w:t>
      </w:r>
    </w:p>
    <w:p>
      <w:r>
        <w:t xml:space="preserve">Integrations- und Ausländerbeauftragten und den Datenschutzbeauftragten des</w:t>
      </w:r>
    </w:p>
    <w:p>
      <w:r>
        <w:t xml:space="preserve">Bundes und der Länder. Schreiben der in den Sätzen 1 bis 3 genannten Stellen,</w:t>
      </w:r>
    </w:p>
    <w:p>
      <w:r>
        <w:t xml:space="preserve">die an die Abschiebungshäftlinge gerichtet sind, werden nicht überwacht, sofern</w:t>
      </w:r>
    </w:p>
    <w:p>
      <w:r>
        <w:t xml:space="preserve">die Identität der absendenden Person zweifelsfrei feststeht.</w:t>
      </w:r>
    </w:p>
    <w:p>
      <w:r>
        <w:t xml:space="preserve">(5) Abschiebungshäftlinge können ohne Beschränkung im Rahmen der gegebenen Möglichkeiten auf eigene Kosten die vorhandenen</w:t>
      </w:r>
    </w:p>
    <w:p>
      <w:r>
        <w:t xml:space="preserve">Telefone in der Abschiebungshafteinrichtung nutzen.</w:t>
      </w:r>
    </w:p>
    <w:p>
      <w:r>
        <w:rPr>
          <w:color w:val="555555"/>
          <w:sz w:val="17"/>
        </w:rPr>
        <w:t xml:space="preserve">Zitiervorschlag: § 7 AbschhVG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https://recht.nulegal.eu/gesetze/AbschhVG/7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