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AbschhVG (Brandenburg) — Aufnahme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Abschiebungshäftlinge sind bei ihrer Aufnahme in einer für sie verständlichen Sprache über ihre Rechte und Pflichten zu unterrichten.</w:t>
      </w:r>
    </w:p>
    <w:p>
      <w:r>
        <w:t xml:space="preserve">(2) Nach der Aufnahme werden Abschiebungshäftlinge alsbald ärztlich untersucht und dem sozialen Dienst vorgestellt.</w:t>
      </w:r>
    </w:p>
    <w:p>
      <w:r>
        <w:t xml:space="preserve">Abschiebungshäftlinge sind verpflichtet, die ärztliche Untersuchung</w:t>
      </w:r>
    </w:p>
    <w:p>
      <w:r>
        <w:t xml:space="preserve">einschließlich einer Röntgenaufnahme der Lunge zu dulden. § 36 Absatz 4 des</w:t>
      </w:r>
    </w:p>
    <w:p>
      <w:r>
        <w:t xml:space="preserve">Infektionsschutzgesetzes gilt entsprechend.</w:t>
      </w:r>
    </w:p>
    <w:p>
      <w:r>
        <w:rPr>
          <w:color w:val="555555"/>
          <w:sz w:val="17"/>
        </w:rPr>
        <w:t xml:space="preserve">Zitiervorschlag: § 4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