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AbschhVG (Brandenburg) — Unterbringung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Abschiebungshäftlinge werden grundsätzlich gemeinsam untergebracht. Sie werden bei einer Haftdauer von mehr als sechs Monaten, wenn sie dies wünschen, regelmäßig allein in einem Haftraum untergebracht.</w:t>
      </w:r>
    </w:p>
    <w:p>
      <w:r>
        <w:t xml:space="preserve">Es bleibt bei der gemeinschaftlichen Unterbringung, wenn der Abschiebungshäftling ihr zustimmt, wenn er hilfsbedürftig ist oder sonst eine Gefahr für</w:t>
      </w:r>
    </w:p>
    <w:p>
      <w:r>
        <w:t xml:space="preserve">sein Leben oder seine Gesundheit besteht.</w:t>
      </w:r>
    </w:p>
    <w:p>
      <w:r>
        <w:t xml:space="preserve">(2) Frauen und Männer sind grundsätzlich in verschiedenen Bereichen der Abschiebungshafteinrichtung unterzubringen.</w:t>
      </w:r>
    </w:p>
    <w:p>
      <w:r>
        <w:t xml:space="preserve">(3) Sofern gegen mehrere Angehörige derselben Familie zusammen Abschiebungshaft vollzogen wird, soll ihnen auch in der Abschiebungshaft abweichend von Absatz 2 auf Wunsch ein Zusammenleben ermöglicht werden. Im übrigen sollen Wünsche von Abschiebungshäftlingen, die einander nahestehen, nach einer gemeinsamen Unterbringung im Rahmen des</w:t>
      </w:r>
    </w:p>
    <w:p>
      <w:r>
        <w:t xml:space="preserve">pflichtgemäßen Ermessens bei Unterbringungsentscheidungen berücksichtigt werden.</w:t>
      </w:r>
    </w:p>
    <w:p>
      <w:r>
        <w:t xml:space="preserve">(4) Bei der Unterbringung ist auf die religiöse und ethnische Zugehörigkeit zu achten.</w:t>
      </w:r>
    </w:p>
    <w:p>
      <w:r>
        <w:rPr>
          <w:color w:val="555555"/>
          <w:sz w:val="17"/>
        </w:rPr>
        <w:t xml:space="preserve">Zitiervorschlag: § 3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