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AbschhVG (Brandenburg) — Grundsätze der Gestaltung des Abschiebungshaftvollzuges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Den in Abschiebungshafteinrichtungen untergebrachten Personen dürfen nur die Beschränkungen auferlegt werden, die der Zweck der Abschiebungshaft oder die Ordnung in der Abschiebungshafteinrichtung erfordert.</w:t>
      </w:r>
    </w:p>
    <w:p>
      <w:r>
        <w:t xml:space="preserve">(2) Das Leben im Vollzug ist den allgemeinen Lebensverhältnissen soweit wie möglich anzugleichen.</w:t>
      </w:r>
    </w:p>
    <w:p>
      <w:r>
        <w:t xml:space="preserve">(3) Schädlichen Folgen des Freiheitsentzuges ist entgegenzuwirken.</w:t>
      </w:r>
    </w:p>
    <w:p>
      <w:r>
        <w:t xml:space="preserve">(4) Die Gewährung von Urlaub oder Ausgang ist unzulässig. Zur Erledigung notwendiger Behördengänge oder privater Angelegenheiten</w:t>
      </w:r>
    </w:p>
    <w:p>
      <w:r>
        <w:t xml:space="preserve">können die Abschiebungshäftlinge ausgeführt werden.</w:t>
      </w:r>
    </w:p>
    <w:p>
      <w:r>
        <w:rPr>
          <w:color w:val="555555"/>
          <w:sz w:val="17"/>
        </w:rPr>
        <w:t xml:space="preserve">Zitiervorschlag: § 2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