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AbschhVG (Brandenburg) — Gewahrsamsordnung</w:t>
      </w:r>
    </w:p>
    <w:p>
      <w:r>
        <w:rPr>
          <w:color w:val="555555"/>
          <w:sz w:val="18"/>
        </w:rPr>
        <w:t xml:space="preserve">Abschiebungshaftvollzugsgesetz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Einzelheiten zu den §§ 2 bis 11 regelt das Ministerium des Innern in einer Gewahrsamsordnung.</w:t>
      </w:r>
    </w:p>
    <w:p>
      <w:r>
        <w:rPr>
          <w:color w:val="555555"/>
          <w:sz w:val="17"/>
        </w:rPr>
        <w:t xml:space="preserve">Zitiervorschlag: § 12 AbschhVG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https://recht.nulegal.eu/gesetze/AbschhVG/12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