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AbschhVG (Brandenburg) — Beschwerderecht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Abschiebungshäftlinge haben das Recht, sich mit Wünschen, Anregungen und</w:t>
      </w:r>
    </w:p>
    <w:p>
      <w:r>
        <w:t xml:space="preserve">Beschwerden in Angelegenheiten, die sie selbst betreffen, an die Leitung der Abschiebungshafteinrichtung</w:t>
      </w:r>
    </w:p>
    <w:p>
      <w:r>
        <w:t xml:space="preserve">zu wenden. Dem Wunsch nach einem Gespräch mit der Leitung der</w:t>
      </w:r>
    </w:p>
    <w:p>
      <w:r>
        <w:t xml:space="preserve">Abschiebungshafteinrichtung ist unverzüglich zu entsprechen.</w:t>
      </w:r>
    </w:p>
    <w:p>
      <w:r>
        <w:rPr>
          <w:color w:val="555555"/>
          <w:sz w:val="17"/>
        </w:rPr>
        <w:t xml:space="preserve">Zitiervorschlag: § 10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