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AbsFondsLwAuflG — Auflösung und Abwicklung</w:t>
      </w:r>
    </w:p>
    <w:p>
      <w:r>
        <w:rPr>
          <w:color w:val="555555"/>
          <w:sz w:val="18"/>
        </w:rPr>
        <w:t xml:space="preserve">Gesetz zur Auflösung und Abwicklung der Anstalt Absatzförderungsfonds der deutschen Land- und Ernährungswirtschaft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Anstalt Absatzförderungsfonds der deutschen Land- und Ernährungswirtschaft ist aufgelöst. Bis zur Beendigung der Abwicklung bleibt die Anstalt in der bisherigen Rechtsform bestehen. Die Abwicklung der Anstalt ist beendet, sobald</w:t>
      </w:r>
    </w:p>
    <w:p>
      <w:pPr>
        <w:ind w:left="420"/>
      </w:pPr>
      <w:r>
        <w:t xml:space="preserve">1. ihre laufenden Geschäfte beendigt,</w:t>
      </w:r>
    </w:p>
    <w:p>
      <w:pPr>
        <w:ind w:left="420"/>
      </w:pPr>
      <w:r>
        <w:t xml:space="preserve">2. ihre Verbindlichkeiten erfüllt,</w:t>
      </w:r>
    </w:p>
    <w:p>
      <w:pPr>
        <w:ind w:left="420"/>
      </w:pPr>
      <w:r>
        <w:t xml:space="preserve">3. ihre Forderungen eingezogen und</w:t>
      </w:r>
    </w:p>
    <w:p>
      <w:pPr>
        <w:ind w:left="420"/>
      </w:pPr>
      <w:r>
        <w:t xml:space="preserve">4. ihr Vermögen in Geld umgesetzt und dieses nach Maßgabe des § 2 Absatz 2 übergegangen ist.</w:t>
      </w:r>
    </w:p>
    <w:p>
      <w:r>
        <w:t xml:space="preserve">Neue Verbindlichkeiten können nur eingegangen werden, soweit sie dem Zweck der Abwicklung dienen.</w:t>
      </w:r>
    </w:p>
    <w:p>
      <w:r>
        <w:t xml:space="preserve">(2) Die Beendigung der Abwicklung ist vom Bundesministerium für Ernährung und Landwirtschaft im Bundesanzeiger bekannt zu geben.</w:t>
      </w:r>
    </w:p>
    <w:p>
      <w:r>
        <w:rPr>
          <w:color w:val="555555"/>
          <w:sz w:val="17"/>
        </w:rPr>
        <w:t xml:space="preserve">Zitiervorschlag: § 1 AbsFondsLwAuflG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https://recht.nulegal.eu/gesetze/AbsFondsLwAuflG/1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AbsFondsLwAuflG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