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AbsFondsForstAuflG — Aufhebung des Holzabsatzfondsgesetzes und der Holzabsatzfondsverordnung</w:t>
      </w:r>
    </w:p>
    <w:p>
      <w:r>
        <w:rPr>
          <w:color w:val="555555"/>
          <w:sz w:val="18"/>
        </w:rPr>
        <w:t xml:space="preserve">Gesetz zur Auflösung und Abwicklung der Anstalt Absatzförderungsfonds der deutschen Forst- und Holzwirtschaft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werden aufgehoben:</w:t>
      </w:r>
    </w:p>
    <w:p>
      <w:pPr>
        <w:ind w:left="420"/>
      </w:pPr>
      <w:r>
        <w:t xml:space="preserve">1. das Holzabsatzfondsgesetz in der Fassung der Bekanntmachung vom 6. Oktober 1998 (BGBl. I S. 3130), das zuletzt durch Artikel 2 des Gesetzes vom 26. Juni 2007 (BGBl. I S. 1170) geändert worden ist,</w:t>
      </w:r>
    </w:p>
    <w:p>
      <w:pPr>
        <w:ind w:left="420"/>
      </w:pPr>
      <w:r>
        <w:t xml:space="preserve">2. die Holzabsatzfondsverordnung vom 4. Januar 1999 (BGBl. I S. 2), die zuletzt durch Artikel 1 der Verordnung vom 20. Mai 2007 (BGBl. I S. 939) geändert worden ist.</w:t>
      </w:r>
    </w:p>
    <w:p>
      <w:r>
        <w:t xml:space="preserve">(2) Bis zum Ablauf des Tages, an dem die Abwicklung der Anstalt Absatzförderungsfonds der deutschen Forst- und Holzwirtschaft beendet ist, ist das Holzabsatzfondsgesetz mit Ausnahme des § 2 Absatz 1 bis 3, des § 4 Absatz 1 Satz 4, des § 10 Absatz 1 bis 6, des § 11 und des § 12 weiter anzuwenden.</w:t>
      </w:r>
    </w:p>
    <w:p>
      <w:r>
        <w:rPr>
          <w:color w:val="555555"/>
          <w:sz w:val="17"/>
        </w:rPr>
        <w:t xml:space="preserve">Zitiervorschlag: § 3 AbsFondsForstAuflG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https://recht.nulegal.eu/gesetze/AbsFondsForstAuflG/3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