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AbsFondsForstAuflG — Kostentragung und Vermögensüberschussverteilung</w:t>
      </w:r>
    </w:p>
    <w:p>
      <w:r>
        <w:rPr>
          <w:color w:val="555555"/>
          <w:sz w:val="18"/>
        </w:rPr>
        <w:t xml:space="preserve">Gesetz zur Auflösung und Abwicklung der Anstalt Absatzförderungsfonds der deutschen Forst- und Holzwirtschaft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Kosten der Abwicklung sind aus dem Vermögen der Anstalt zu tragen.</w:t>
      </w:r>
    </w:p>
    <w:p>
      <w:r>
        <w:t xml:space="preserve">(2) Verbleibt bei der Anstalt im Zeitpunkt der Beendigung der Abwicklung ein Vermögensüberschuss, so geht dieser Überschuss auf das Zweckvermögen des Bundes nach § 1 Absatz 1 Satz 1 des Gesetzes über das Zweckvermögen des Bundes bei der Landwirtschaftlichen Rentenbank über. Die dem Zweckvermögen nach Satz 1 zugewachsenen Finanzmittel sind im Rahmen des § 2 des Gesetzes über das Zweckvermögen des Bundes bei der Landwirtschaftlichen Rentenbank zu verwenden.</w:t>
      </w:r>
    </w:p>
    <w:p>
      <w:r>
        <w:rPr>
          <w:color w:val="555555"/>
          <w:sz w:val="17"/>
        </w:rPr>
        <w:t xml:space="preserve">Zitiervorschlag: § 2 AbsFondsForstAuflG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https://recht.nulegal.eu/gesetze/AbsFondsForstAuflG/2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