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AbrStV</w:t>
      </w:r>
    </w:p>
    <w:p>
      <w:r>
        <w:rPr>
          <w:color w:val="555555"/>
          <w:sz w:val="18"/>
        </w:rPr>
        <w:t xml:space="preserve">Abrechnungsstellenverordnung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31 Abs. 2 des Scheckgesetzes in der im Bundesgesetzblatt Teil III, Gliederungsnummer 4132-1, veröffentlichten bereinigten Fassung in Verbindung mit Artikel 129 Abs. 1 des Grundgesetzes für die Bundesrepublik Deutschland verordnet das Bundesministerium der Justiz:</w:t>
      </w:r>
    </w:p>
    <w:p>
      <w:r>
        <w:rPr>
          <w:color w:val="555555"/>
          <w:sz w:val="17"/>
        </w:rPr>
        <w:t xml:space="preserve">Zitiervorschlag: Eingangsformel AbrStV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