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AbrStV</w:t>
      </w:r>
    </w:p>
    <w:p>
      <w:r>
        <w:rPr>
          <w:color w:val="555555"/>
          <w:sz w:val="18"/>
        </w:rPr>
        <w:t xml:space="preserve">Abrechnungsstellenverordnung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 Gleichzeitig tritt die Verordnung über Abrechnungsstellen im Wechsel- und Scheckverkehr in der im Bundesgesetzblatt Teil III, Gliederungsnummer 4132-4, veröffentlichten bereinigten Fassung außer Kraft.</w:t>
      </w:r>
    </w:p>
    <w:p>
      <w:r>
        <w:rPr>
          <w:color w:val="555555"/>
          <w:sz w:val="17"/>
        </w:rPr>
        <w:t xml:space="preserve">Zitiervorschlag: § 3 AbrStV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https://recht.nulegal.eu/gesetze/AbrStV/3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