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AbmG (Bayern) — Ausnahmen von der Abmarkungspflicht</w:t>
      </w:r>
    </w:p>
    <w:p>
      <w:r>
        <w:rPr>
          <w:color w:val="555555"/>
          <w:sz w:val="18"/>
        </w:rPr>
        <w:t xml:space="preserve">Abmarkungsgesetz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Eine Pflicht zur Abmarkung besteht nicht, wenn</w:t>
      </w:r>
    </w:p>
    <w:p>
      <w:r>
        <w:t xml:space="preserve">1. die Grundstücksgrenze wegen unterschiedlicher Baulast innerhalb einer Straße verläuft,</w:t>
      </w:r>
    </w:p>
    <w:p>
      <w:r>
        <w:t xml:space="preserve">2. die Grundstücksgrenze lediglich einzelne Abschnitte von Straßen oder Wegen oder einzelne Gewässer gegeneinander abgrenzt,</w:t>
      </w:r>
    </w:p>
    <w:p>
      <w:r>
        <w:t xml:space="preserve">3. die Grundstücksgrenze in der Uferlinie eines Gewässers oder in einem Gewässer verläuft,</w:t>
      </w:r>
    </w:p>
    <w:p>
      <w:r>
        <w:t xml:space="preserve">4. die Grundstücksgrenze in anderer Weise, insbesondere durch Mauern, hinreichend und dauerhaft gekennzeichnet ist,</w:t>
      </w:r>
    </w:p>
    <w:p>
      <w:r>
        <w:t xml:space="preserve">5. das Grenzzeichen seinen Zweck auf Dauer nicht erfüllen könnte, oder</w:t>
      </w:r>
    </w:p>
    <w:p>
      <w:r>
        <w:t xml:space="preserve">durch das Anbringen des Grenzzeichens ein unzumutbarer Schaden verursacht würde oder das Grenzzeichen eine Gefahrenquelle darstellen würde, oder</w:t>
      </w:r>
    </w:p>
    <w:p>
      <w:r>
        <w:t xml:space="preserve">das Grenzzeichen die Bewirtschaftung der Grundstücke in unzumutbarer Weise behindern würde, oder</w:t>
      </w:r>
    </w:p>
    <w:p>
      <w:r>
        <w:t xml:space="preserve">der Nutzen des Grenzzeichens in keinem vertretbaren Verhältnis zu dem Aufwand für seine Anbringung stünde.</w:t>
      </w:r>
    </w:p>
    <w:p>
      <w:r>
        <w:rPr>
          <w:color w:val="555555"/>
          <w:sz w:val="17"/>
        </w:rPr>
        <w:t xml:space="preserve">Zitiervorschlag: Art 6 AbmG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https://recht.nulegal.eu/gesetze/AbmG/6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