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AbmG (Bayern) — Abmarkungspflicht</w:t>
      </w:r>
    </w:p>
    <w:p>
      <w:r>
        <w:rPr>
          <w:color w:val="555555"/>
          <w:sz w:val="18"/>
        </w:rPr>
        <w:t xml:space="preserve">Abmarkungsgesetz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Grundstücksgrenzen sind – unbeschadet der Ausnahmen nach Art. 6 – abzumarken, wenn</w:t>
      </w:r>
    </w:p>
    <w:p>
      <w:r>
        <w:t xml:space="preserve">1. die Grenzen nicht ausreichend oder nicht richtig durch Grenzzeichen, die zweifelsfrei als solche erkannt werden können, abgemarkt sind, und</w:t>
      </w:r>
    </w:p>
    <w:p>
      <w:r>
        <w:t xml:space="preserve">2. zur Abmarkung ein Anlaß gegeben ist.</w:t>
      </w:r>
    </w:p>
    <w:p>
      <w:r>
        <w:t xml:space="preserve">(2) Anlaß für eine Abmarkung ist stets gegeben, wenn</w:t>
      </w:r>
    </w:p>
    <w:p>
      <w:r>
        <w:t xml:space="preserve">1. Grundstücksgrenzen bei einer Katasterneuvermessung (Art. 8 Abs. 7 des Vermessungs- und Katastergesetzes) ermittelt oder festgestellt werden,</w:t>
      </w:r>
    </w:p>
    <w:p>
      <w:r>
        <w:t xml:space="preserve">2. Grundstücksgrenzen von der zuständigen Behörde auf Antrag ermittelt oder festgestellt werden,</w:t>
      </w:r>
    </w:p>
    <w:p>
      <w:r>
        <w:t xml:space="preserve">3. Grundstücksgrenzen durch Änderung oder Neubildung von Grundstücken entstehen, oder vorgesehene Änderungen oder Neubildungen, für die die Abmarkung bereits vorgenommen worden ist (Art. 7 Abs. 2), nicht zum rechtlichen Vollzug gelangen,</w:t>
      </w:r>
    </w:p>
    <w:p>
      <w:r>
        <w:t xml:space="preserve">4. Grundstücksgrenzen durch gerichtliche Entscheidung oder durch gerichtlichen Vergleich festgelegt werden,</w:t>
      </w:r>
    </w:p>
    <w:p>
      <w:r>
        <w:t xml:space="preserve">5. es das Interesse des öffentlichen Wohls gebietet, verlorengegangene Grenzzeichen wieder herzustellen oder sonstige Mängel in der Abmarkung zu beheben, insbesondere wenn ein Grenzzeichen eine Gefahrenquelle darstellt.</w:t>
      </w:r>
    </w:p>
    <w:p>
      <w:r>
        <w:t xml:space="preserve">(3) Wird ein Grundstück geteilt, so sollen außer den neu gebildeten Grundstücksgrenzen (Absatz 2 Nr. 3) auch diejenigen Punkte der unverändert bleibenden Grenzen abgemarkt werden, deren Ermittlung im Zug der Grundstücksteilung erforderlich wurde.</w:t>
      </w:r>
    </w:p>
    <w:p>
      <w:r>
        <w:t xml:space="preserve">(4) Schief stehende Grenzsteine können von den zur Abmarkung befugten Behörden auch dann aufgerichtet werden, wenn für die Grundstücksgrenze kein unmittelbarer Anlaß zur Abmarkung gemäß Absatz 2 gegeben ist.</w:t>
      </w:r>
    </w:p>
    <w:p>
      <w:r>
        <w:t xml:space="preserve">[Amtl. Anm.:] BayRS 219-1-F</w:t>
      </w:r>
    </w:p>
    <w:p>
      <w:r>
        <w:rPr>
          <w:color w:val="555555"/>
          <w:sz w:val="17"/>
        </w:rPr>
        <w:t xml:space="preserve">Zitiervorschlag: Art 5 AbmG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https://recht.nulegal.eu/gesetze/AbmG/5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