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AbmG (Bayern) — Hoheitsgrenzen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dieses Gesetzes über den Schutz der Grenzzeichen (Art. 9), über die Duldungspflichten (Art. 10) sowie über Ordnungswidrigkeiten (Art. 22) sind auch auf die Grenzzeichen anzuwenden, die zur Kennzeichnung der Staats-, Landes- und Gemeindegrenzen von den hierfür zuständigen Stellen angebracht werden.</w:t>
      </w:r>
    </w:p>
    <w:p>
      <w:r>
        <w:t xml:space="preserve">(2) Besondere Vorschriften über die Abmarkung von Grundstücksgrenzen, die zugleich Staats- oder Landesgrenze sind, bleiben unberührt.</w:t>
      </w:r>
    </w:p>
    <w:p>
      <w:r>
        <w:rPr>
          <w:color w:val="555555"/>
          <w:sz w:val="17"/>
        </w:rPr>
        <w:t xml:space="preserve">Zitiervorschlag: Art 24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