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AbmG (Bayern) — Privatrechtlicher Abmarkungsanspruch</w:t>
      </w:r>
    </w:p>
    <w:p>
      <w:r>
        <w:rPr>
          <w:color w:val="555555"/>
          <w:sz w:val="18"/>
        </w:rPr>
        <w:t xml:space="preserve">Abmarkungsgesetz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Abmarkungen in Erfüllung eines Mitwirkungsanspruchs gemäß § 919 Abs. 1 des Bürgerlichen Gesetzbuchs sind nach den Vorschriften des Abmarkungsgesetzes auszuführen.</w:t>
      </w:r>
    </w:p>
    <w:p>
      <w:r>
        <w:t xml:space="preserve">[Amtl. Anm.:] BGBl. FN 400-2</w:t>
      </w:r>
    </w:p>
    <w:p>
      <w:r>
        <w:rPr>
          <w:color w:val="555555"/>
          <w:sz w:val="17"/>
        </w:rPr>
        <w:t xml:space="preserve">Zitiervorschlag: Art 23 AbmG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https://recht.nulegal.eu/gesetze/AbmG/23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