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AbmG (Bayern) — Ordnungswidrigkeiten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die Tat nicht nach anderen Vorschriften mit Strafe bedroht ist, kann mit Geldbuße belegt werden, wer unbefugt</w:t>
      </w:r>
    </w:p>
    <w:p>
      <w:r>
        <w:t xml:space="preserve">1. eine Abmarkung vornimmt,</w:t>
      </w:r>
    </w:p>
    <w:p>
      <w:r>
        <w:t xml:space="preserve">2. Grenzzeichen und andere Merkmale, die zur Bezeichnung der Grundstücksgrenzen von den hierzu befugten Behörden oder Personen angebracht worden sind, wegnimmt, verrückt, vernichtet, beschädigt oder unkenntlich macht.</w:t>
      </w:r>
    </w:p>
    <w:p>
      <w:r>
        <w:rPr>
          <w:color w:val="555555"/>
          <w:sz w:val="17"/>
        </w:rPr>
        <w:t xml:space="preserve">Zitiervorschlag: Art 22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