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AbmG (Bayern) — Rechtsweg</w:t>
      </w:r>
    </w:p>
    <w:p>
      <w:r>
        <w:rPr>
          <w:color w:val="555555"/>
          <w:sz w:val="18"/>
        </w:rPr>
        <w:t xml:space="preserve">Abmarkungsgesetz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Streitigkeiten im Vollzug dieses Gesetzes entscheiden die Verwaltungsgerichte.</w:t>
      </w:r>
    </w:p>
    <w:p>
      <w:r>
        <w:t xml:space="preserve">(2) Über den Entschädigungsanspruch nach Art. 10 Abs. 4 Satz 1 sowie über den Erstattungsanspruch nach Art. 10 Abs. 4 Satz 3 entscheiden im Streitfall die ordentlichen Gerichte. Die Zuständigkeit der ordentlichen Gerichte bei Streitigkeiten über den privatrechtlichen Abmarkungsanspruch und über die Aufteilung der Kosten nach § 919 des Bürgerlichen Gesetzbuchs sowie bei Streitigkeiten über den Verlauf der Eigentumsgrenze bleibt unberührt.</w:t>
      </w:r>
    </w:p>
    <w:p>
      <w:r>
        <w:t xml:space="preserve">[Amtl. Anm.:] BGBl. FN 400-2</w:t>
      </w:r>
    </w:p>
    <w:p>
      <w:r>
        <w:rPr>
          <w:color w:val="555555"/>
          <w:sz w:val="17"/>
        </w:rPr>
        <w:t xml:space="preserve">Zitiervorschlag: Art 21 AbmG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https://recht.nulegal.eu/gesetze/AbmG/21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