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 AbmG (Bayern) — Grenzzeichen</w:t>
      </w:r>
    </w:p>
    <w:p>
      <w:r>
        <w:rPr>
          <w:color w:val="555555"/>
          <w:sz w:val="18"/>
        </w:rPr>
        <w:t xml:space="preserve">Abmarkungsgesetz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Als Grenzzeichen sind dauerhafte Marken zu verwenden. Sie müssen so beschaffen sein, daß sie als Grenzzeichen zweifelsfrei erkennbar sind.</w:t>
      </w:r>
    </w:p>
    <w:p>
      <w:r>
        <w:t xml:space="preserve">(2) Nach Möglichkeit sind die Grenzzeichen unmittelbar in den Grenzpunkten anzubringen. Zwischen zwei Grenzzeichen soll in der Regel eine geradlinige Grenzstrecke sein.</w:t>
      </w:r>
    </w:p>
    <w:p>
      <w:r>
        <w:t xml:space="preserve">(3) Die Gemeinden haben dafür Sorge zu tragen, daß das für die Bezeichnung und Sicherung der Grundstücksgrenzen erforderliche Material bereitgehalten und gegen Bezahlung abgegeben wird.</w:t>
      </w:r>
    </w:p>
    <w:p>
      <w:r>
        <w:rPr>
          <w:color w:val="555555"/>
          <w:sz w:val="17"/>
        </w:rPr>
        <w:t xml:space="preserve">Zitiervorschlag: Art 16 AbmG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https://recht.nulegal.eu/gesetze/AbmG/16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