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AbmG (Bayern) — Einleitung der Abmarkung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Besteht eine Abmarkungspflicht nach Art. 5, so wird die Abmarkung von Amts wegen vollzogen.</w:t>
      </w:r>
    </w:p>
    <w:p>
      <w:r>
        <w:t xml:space="preserve">(2) Die Abmarkung der Grundstücksgrenzen kann ferner auf Antrag eines beteiligten Grundstückseigentümers vorgenommen werden. Den Antrag kann mit dessen Einverständnis auch ein Dritter stellen.</w:t>
      </w:r>
    </w:p>
    <w:p>
      <w:r>
        <w:rPr>
          <w:color w:val="555555"/>
          <w:sz w:val="17"/>
        </w:rPr>
        <w:t xml:space="preserve">Zitiervorschlag: Art 14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