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AbmG (Bayern) — Zweck und Wirkung der Abmarkung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Zweck der Abmarkung ist, die Grenzen der Grundstücke durch Marken (Grenzzeichen) örtlich erkennbar zu bezeichnen.</w:t>
      </w:r>
    </w:p>
    <w:p>
      <w:r>
        <w:t xml:space="preserve">(2) Zur Abmarkung nach dem in diesem Gesetz geregelten Verfahren zählen insbesondere das Anbringen von Grenzzeichen, das Verbringen von Grenzzeichen in die richtige Lage, das Erneuern sowie das Entfernen von Grenzzeichen.</w:t>
      </w:r>
    </w:p>
    <w:p>
      <w:r>
        <w:t xml:space="preserve">(3) Das Ergebnis der Abmarkung ist im Liegenschaftskataster nachzuweisen.</w:t>
      </w:r>
    </w:p>
    <w:p>
      <w:r>
        <w:t xml:space="preserve">(4) Stimmt eine nach den Vorschriften dieses Gesetzes oder nach früheren Vorschriften abgemarkte Grundstücksgrenze mit dem Nachweis des Liegenschaftskatasters überein, so wird, abgesehen von dem Fall des Art. 7 Abs. 2, vermutet, daß die abgemarkte Grenze die richtige ist. Die Vermutung der Richtigkeit gilt auch für eine Grundstücksgrenze, die festgestellt (Art. 2 Abs. 1), aber aus den in Art. 6 Nrn. 4 und 5 genannten Gründen nicht abgemarkt worden ist.</w:t>
      </w:r>
    </w:p>
    <w:p>
      <w:r>
        <w:rPr>
          <w:color w:val="555555"/>
          <w:sz w:val="17"/>
        </w:rPr>
        <w:t xml:space="preserve">Zitiervorschlag: Art 1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