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AbgrV 1985 — Anwendungsbereich</w:t>
      </w:r>
    </w:p>
    <w:p>
      <w:r>
        <w:rPr>
          <w:color w:val="555555"/>
          <w:sz w:val="18"/>
        </w:rPr>
        <w:t xml:space="preserve">Abgrenzungsverordnung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nähere Abgrenzung der nach § 17 Abs. 4 Nr. 1 des Krankenhausfinanzierungsgesetzes im Pflegesatz nicht zu berücksichtigenden Investitionskosten von den pflegesatzfähigen Kosten richtet sich nach dieser Verordnung.</w:t>
      </w:r>
    </w:p>
    <w:p>
      <w:r>
        <w:t xml:space="preserve">(2) Die Verordnung gilt nicht für</w:t>
      </w:r>
    </w:p>
    <w:p>
      <w:pPr>
        <w:ind w:left="420"/>
      </w:pPr>
      <w:r>
        <w:t xml:space="preserve">1. die Krankenhäuser, auf die das Krankenhausfinanzierungsgesetz nach seinem § 3 Satz 1 Nr. 1 bis 4 keine Anwendung findet,</w:t>
      </w:r>
    </w:p>
    <w:p>
      <w:pPr>
        <w:ind w:left="420"/>
      </w:pPr>
      <w:r>
        <w:t xml:space="preserve">2. die Krankenhäuser, die nach § 5 Abs. 1 Nr. 2, 4 oder 7 des Krankenhausfinanzierungsgesetzes nicht gefördert werden, es sei denn, daß diese Krankenhäuser auf Grund Landesrechts nach § 5 Abs. 2 des Krankenhausfinanzierungsgesetzes gefördert werden.</w:t>
      </w:r>
    </w:p>
    <w:p>
      <w:r>
        <w:rPr>
          <w:color w:val="555555"/>
          <w:sz w:val="17"/>
        </w:rPr>
        <w:t xml:space="preserve">Zitiervorschlag: § 1 AbgrV 1985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https://recht.nulegal.eu/gesetze/AbgrV%201985/1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