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4d Abgeordnetengesetz (Sachsen) — Fristen</w:t>
      </w:r>
    </w:p>
    <w:p>
      <w:r>
        <w:rPr>
          <w:color w:val="555555"/>
          <w:sz w:val="18"/>
        </w:rPr>
        <w:t xml:space="preserve">Abgeordnetengesetz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Anzeigen nach § 4b Absatz 1 sowie Absatz 4 sind innerhalb einer Frist von drei Monaten nach Erwerb der Mitgliedschaft im Landtag sowie nach Eintritt von Änderungen oder Ergänzungen während der Wahlperiode der Präsidentin oder dem Präsidenten einzureichen.</w:t>
      </w:r>
    </w:p>
    <w:p>
      <w:r>
        <w:t xml:space="preserve">(2) Anzeigen nach § 4b Absatz 2 sind nach Erwerb der Mitgliedschaft der Präsidentin oder dem Präsidenten bis zur Stufe 4 für jedes Kalenderjahr bis zum 1. April des Folgejahres einzureichen. Ab Stufe 5 beträgt die Frist zur Anzeige drei Monate zum Monatsende. Für die Anzeige von</w:t>
      </w:r>
    </w:p>
    <w:p>
      <w:r>
        <w:t xml:space="preserve">1. Einkünften aus Land- und Forstwirtschaft unabhängig von der Stufe und</w:t>
      </w:r>
    </w:p>
    <w:p>
      <w:r>
        <w:t xml:space="preserve">2. Einkünften im Sinne des § 4c Absatz 2 Satz 4, die jeweils die Stufe 4 nicht übersteigen,</w:t>
      </w:r>
    </w:p>
    <w:p>
      <w:r>
        <w:t xml:space="preserve">gilt die Frist des Satzes 1.</w:t>
      </w:r>
    </w:p>
    <w:p>
      <w:r>
        <w:t xml:space="preserve">(3) Für die Mitteilung anzeigepflichtiger Einkünfte beziehungsweise Spenden, die nicht kalenderjährig anzugeben sind, ist der späteste Zeitpunkt für den Fristbeginn der Tag des Zuflusses.</w:t>
      </w:r>
    </w:p>
    <w:p>
      <w:r>
        <w:rPr>
          <w:color w:val="555555"/>
          <w:sz w:val="17"/>
        </w:rPr>
        <w:t xml:space="preserve">Zitiervorschlag: § 4d Abgeordnetengesetz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https://recht.nulegal.eu/gesetze/Abgeordnetengesetz/4d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