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Abgeordnetengesetz (Sachsen) — Übergangsregelungen zum Zwölften Gesetz zur Änderung des Abgeordnetengesetzes</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am 25. Januar 2008 bereits ausgeschiedene Mitglieder des Sächsischen Landtages wird, soweit für sie zu diesem Zeitpunkt bereits nach den §§ 40 und 42 ein Anspruch auf Altersentschädigung besteht, die Zeit der Wahrnehmung der Ämter nach § 5 Abs. 3 bei der Berechnung der Altersentschädigung in dem Zeitraum vom Tage des Inkrafttretens des Elften Gesetzes zur Änderung des Abgeordnetengesetzes vom 15. November 2007 (SächsGVBl. S. 518) bis einschließlich des auf den Tag der Verkündung des Zwölften Gesetzes zur Änderung des Abgeordnetengesetzes folgenden Monats nach den Regelungen des Abgeordnetengesetzes in der Fassung der Bekanntmachung vom 4. Juli 2000 (SächsGVBl. S. 326), zuletzt geändert durch das Elfte Gesetz zur Änderung des Abgeordnetengesetzes vom 15. November 2007 (SächsGVBl. S. 518), berechnet.</w:t>
      </w:r>
    </w:p>
    <w:p>
      <w:r>
        <w:t xml:space="preserve">(2) Die Wahrnehmung der Ämter des Präsidenten und seiner Stellvertreterinnen und Stellvertreter bis einschließlich der 4. Wahlperiode wird abweichend von § 14b bei der Berechnung der Altersentschädigung nach dem bis zum 30. November 2007 geltenden Recht berücksichtigt.</w:t>
      </w:r>
    </w:p>
    <w:p>
      <w:r>
        <w:rPr>
          <w:color w:val="555555"/>
          <w:sz w:val="17"/>
        </w:rPr>
        <w:t xml:space="preserve">Zitiervorschlag: § 45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https://recht.nulegal.eu/gesetze/Abgeordnetengesetz/45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