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Abgeordnetengesetz (Sachsen) — Angestellte des öffentlichen Dienstes und Bedienstete verwandter Einrichtungen, Bedienstete in der gesetzgebenden Körperschaft eines anderen Landes</w:t>
      </w:r>
    </w:p>
    <w:p>
      <w:r>
        <w:rPr>
          <w:color w:val="555555"/>
          <w:sz w:val="18"/>
        </w:rPr>
        <w:t xml:space="preserve">Abgeordnetengesetz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§§ 30 bis 35 gelten für die in § 29 Abs. 3 Genannten sinngemäß. Nach Beendigung der Mitgliedschaft im Landtag ist die Zeit der Mitgliedschaft auf Dienst- und Beschäftigungszeiten anzurechnen; im Rahmen einer bestehenden zusätzlichen Alters- und Hinterbliebenenversorgung gilt dies nur im Hinblick auf Vorschriften, die die Anwartschaft oder den Anspruch dem Grunde nach regeln.</w:t>
      </w:r>
    </w:p>
    <w:p>
      <w:r>
        <w:t xml:space="preserve">(2) § 17 Abs. 3, §§ 30 bis 32, § 34 und § 35 Abs. 1 bis 3 gelten auch für Beamtinnen und Beamte, die der gesetzgebenden Körperschaft eines anderen Landes angehören, sofern das Amt kraft Gesetzes mit dem Mandat in dem anderen Land unvereinbar ist. § 17 Abs. 3, § 30 Abs. 1 sowie §§ 31, 32 und 34 gelten auch für Richterinnen und Richter, die der gesetzgebenden Körperschaft eines anderen Landes angehören, Absatz 1 Satz 2, § 17 Abs. 3 sowie § 30 Abs. 1, §§ 31, 32, 34 und 35 Abs. 1 bis 3 gelten für die in § 29 Abs. 3 Genannten sinngemäß, die der gesetzgebenden Körperschaft eines anderen Landes angehören, sofern das Beschäftigungsverhältnis kraft Gesetzes mit dem Mandat in dem anderen Land unvereinbar ist.</w:t>
      </w:r>
    </w:p>
    <w:p>
      <w:r>
        <w:rPr>
          <w:color w:val="555555"/>
          <w:sz w:val="17"/>
        </w:rPr>
        <w:t xml:space="preserve">Zitiervorschlag: § 36 Abgeordnetengesetz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https://recht.nulegal.eu/gesetze/Abgeordnetengesetz/36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