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Abgeordnetengesetz (Sachsen) — Beamte auf Zeit</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Rechte und Pflichten aus dem Dienstverhältnis einer Beamtin oder eines Beamten auf Zeit ruhen längstens bis zum Ablauf der Amtszeit.</w:t>
      </w:r>
    </w:p>
    <w:p>
      <w:r>
        <w:t xml:space="preserve">(2) Fällt bei einer Beamtin oder einem Beamten auf Zeit der Ablauf der Amtszeit auf einen Zeitpunkt nach dem Ausscheiden aus dem Landtag, so gilt die Amtszeit zu diesem Zeitpunkt insgesamt als abgeleistet. Kehrt die Beamtin oder der Beamte auf Zeit in der Zeit zwischen dem Ausscheiden aus dem Landtag und dem Ablauf ihrer oder seiner Amtszeit in ein Beamtenverhältnis zurück, so kann die Dienstzeit nur einmal berücksichtigt werden.</w:t>
      </w:r>
    </w:p>
    <w:p>
      <w:r>
        <w:t xml:space="preserve">(3) § 31 gilt nicht für Beamtinnen und Beamte auf Zeit.</w:t>
      </w:r>
    </w:p>
    <w:p>
      <w:r>
        <w:t xml:space="preserve">(4) Die Absätze 1 bis 3 gelten sinngemäß für in die gesetzgebende Körperschaft eines anderen Bundeslandes, den Deutschen Bundestag oder das Europäische Parlament gewählte Wahlbeamtinnen und Wahlbeamte auf Zeit.</w:t>
      </w:r>
    </w:p>
    <w:p>
      <w:r>
        <w:rPr>
          <w:color w:val="555555"/>
          <w:sz w:val="17"/>
        </w:rPr>
        <w:t xml:space="preserve">Zitiervorschlag: § 35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