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Abgeordnetengesetz (Sachsen) — Dienstzeiten im öffentlichen Dienst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Zeit der Mitgliedschaft im Landtag gilt unbeschadet der Regelung des § 17 Abs. 3 nicht als Dienstzeit im Sinne des Versorgungsrechts. Das Gleiche gilt für die Zeit nach Beendigung der Mitgliedschaft im Landtag, wenn die Beamtin oder der Beamte nicht nach § 31 in das frühere Dienstverhältnis zurückgeführt wird. Satz 2 ist nicht anzuwenden, wenn ein Antrag nach § 31 Abs. 1 Satz 2 gestellt wird.</w:t>
      </w:r>
    </w:p>
    <w:p>
      <w:r>
        <w:t xml:space="preserve">(2) Nach Beendigung der Mitgliedschaft im Landtag ist die Zeit der Mitgliedschaft auf laufbahnrechtliche Dienstzeiten, mit Ausnahme der Probezeit, anzurechnen.</w:t>
      </w:r>
    </w:p>
    <w:p>
      <w:r>
        <w:rPr>
          <w:color w:val="555555"/>
          <w:sz w:val="17"/>
        </w:rPr>
        <w:t xml:space="preserve">Zitiervorschlag: § 32 Abgeordnetengesetz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https://recht.nulegal.eu/gesetze/Abgeordnetengesetz/32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