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Abgeordnetengesetz (Sachsen) — Aufrundung</w:t>
      </w:r>
    </w:p>
    <w:p>
      <w:r>
        <w:rPr>
          <w:color w:val="555555"/>
          <w:sz w:val="18"/>
        </w:rPr>
        <w:t xml:space="preserve">Abgeordnetengesetz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Leistungen des Zweiten und Dritten Abschnitts werden auf volle Euro aufgerundet. Dies gilt nicht für den Vorsorgebeitrag nach § 14a Abs. 1.</w:t>
      </w:r>
    </w:p>
    <w:p>
      <w:r>
        <w:rPr>
          <w:color w:val="555555"/>
          <w:sz w:val="17"/>
        </w:rPr>
        <w:t xml:space="preserve">Zitiervorschlag: § 27 Abgeordnetengesetz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https://recht.nulegal.eu/gesetze/Abgeordnetengesetz/27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