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Abgeordnetengesetz (Sachsen) — Verzicht, Übertragbarkeit, Nichtanrechenbarkeit</w:t>
      </w:r>
    </w:p>
    <w:p>
      <w:r>
        <w:rPr>
          <w:color w:val="555555"/>
          <w:sz w:val="18"/>
        </w:rPr>
        <w:t xml:space="preserve">Abgeordnetengesetz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 Verzicht auf die Grundentschädigung nach § 5 und auf die Aufwandsentschädigung nach § 6 ist unzulässig. Die Ansprüche aus § 6 sind nicht übertragbar. Die Ansprüche auf Grundentschädigung und auf Übergangsgeld nach § 12 sind nur zur Hälfte übertragbar. Im Übrigen gelten die Vorschriften der §§ 850 ff. der Zivilprozessordnung .</w:t>
      </w:r>
    </w:p>
    <w:p>
      <w:r>
        <w:t xml:space="preserve">(2) Die nach diesem Gesetz gewährten Leistungen bleiben unberücksichtigt, sofern und soweit die Leistungen einer betrieblichen Altersversorgung von anderen Einkommen abhängig sind.</w:t>
      </w:r>
    </w:p>
    <w:p>
      <w:r>
        <w:rPr>
          <w:color w:val="555555"/>
          <w:sz w:val="17"/>
        </w:rPr>
        <w:t xml:space="preserve">Zitiervorschlag: § 25 Abgeordnetengesetz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https://recht.nulegal.eu/gesetze/Abgeordnetengesetz/25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