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Abgeordnetengesetz (Sachsen) — Anwendung beamtenrechtlicher Vorschriften</w:t>
      </w:r>
    </w:p>
    <w:p>
      <w:r>
        <w:rPr>
          <w:color w:val="555555"/>
          <w:sz w:val="18"/>
        </w:rPr>
        <w:t xml:space="preserve">Abgeordnetengesetz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in diesem Gesetz nichts anderes bestimmt ist, sind für die Versorgung die für die Landesbeamtinnen und Landesbeamten geltenden Vorschriften sinngemäß anzuwenden.</w:t>
      </w:r>
    </w:p>
    <w:p>
      <w:r>
        <w:rPr>
          <w:color w:val="555555"/>
          <w:sz w:val="17"/>
        </w:rPr>
        <w:t xml:space="preserve">Zitiervorschlag: § 20 Abgeordnetengesetz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https://recht.nulegal.eu/gesetze/Abgeordnetengesetz/20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