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Abgeordnetengesetz (Sachsen) — Altersvorsorge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Mitglied des Landtages erhält zur Finanzierung einer freiwilligen Versicherung in der gesetzlichen Rentenversicherung oder einer anderen eigenen Altersversorgung einen monatlichen Vorsorgebeitrag nach § 14a.</w:t>
      </w:r>
    </w:p>
    <w:p>
      <w:r>
        <w:t xml:space="preserve">(2) Anstelle einer Altersvorsorge nach Absatz 1 erhält ein Mitglied des Landtages nach seinem Ausscheiden auf Antrag eine Altersentschädigung nach § 14b sowie Leistungen nach den §§ 15 bis 19.</w:t>
      </w:r>
    </w:p>
    <w:p>
      <w:r>
        <w:t xml:space="preserve">(3) Der Antrag nach Absatz 2 ist innerhalb von vier Monaten nach Erwerb der Mitgliedschaft bei der Präsidentin oder bei dem Präsidenten zu stellen. Die Entscheidung ist für die Dauer der Wahlperiode unwiderruflich.</w:t>
      </w:r>
    </w:p>
    <w:p>
      <w:r>
        <w:rPr>
          <w:color w:val="555555"/>
          <w:sz w:val="17"/>
        </w:rPr>
        <w:t xml:space="preserve">Zitiervorschlag: § 13 Abgeordnetengesetz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https://recht.nulegal.eu/gesetze/Abgeordnetengesetz/13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