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Abgeordnetengesetz (Sachsen) — Freifahrtberechtigung</w:t>
      </w:r>
    </w:p>
    <w:p>
      <w:r>
        <w:rPr>
          <w:color w:val="555555"/>
          <w:sz w:val="18"/>
        </w:rPr>
        <w:t xml:space="preserve">Abgeordnetengesetz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 Mitglied des Landtages hat das Recht auf freie Benutzung aller Verkehrsmittel der Eisenbahn innerhalb des Freistaates Sachsen, auf Antrag erweitert um die Strecke nach Berlin.</w:t>
      </w:r>
    </w:p>
    <w:p>
      <w:r>
        <w:rPr>
          <w:color w:val="555555"/>
          <w:sz w:val="17"/>
        </w:rPr>
        <w:t xml:space="preserve">Zitiervorschlag: § 10 Abgeordnetengesetz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https://recht.nulegal.eu/gesetze/Abgeordnetengesetz/10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