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AbgG — Dienstzeiten im öffentlichen Dienst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27 Abs. 3 Satz 3 des Bundesbesoldungsgesetzes und unbeschadet des § 23 Abs. 5 verzögert die Zeit der Mitgliedschaft im Bundestag den Aufstieg eines Bundesbeamten in den Grundgehaltsstufen in dem Umfang, der sich bei entsprechender Anwendung des § 28 Abs. 1 und 2 des Bundesbesoldungsgesetzes in der bis zum 30. Juni 2009 geltenden Fassung ergibt.</w:t>
      </w:r>
    </w:p>
    <w:p>
      <w:r>
        <w:t xml:space="preserve">(2) Wird der Beamte nicht nach § 6 in das frühere Dienstverhältnis zurückgeführt, so wird das Besoldungsdienstalter um die Zeit nach Beendigung der Mitgliedschaft im Bundestag bis zum Eintritt des Versorgungsfalles hinausgeschoben. Wird der Bundesbeamte nicht nach § 6 in das frühere Dienstverhältnis zurückgeführt, verbleibt er bis zum Eintritt des Versorgungsfalles in der sich nach Absatz 1 ergebenden Stufe des Grundgehaltes.</w:t>
      </w:r>
    </w:p>
    <w:p>
      <w:r>
        <w:t xml:space="preserve">(3) Die Zeit der Mitgliedschaft im Bundestag gilt unbeschadet der Regelung des § 23 Abs. 5 nicht als Dienstzeit im Sinne des Versorgungsrechts. Das gleiche gilt für die Zeit nach der Beendigung der Mitgliedschaft im Bundestag, wenn der Beamte nicht nach § 6 in das frühere Dienstverhältnis zurückgeführt wird.</w:t>
      </w:r>
    </w:p>
    <w:p>
      <w:r>
        <w:t xml:space="preserve">(4) Nach Beendigung der Mitgliedschaft im Bundestag ist die Zeit der Mitgliedschaft auf laufbahnrechtliche Dienstzeiten, mit Ausnahme der Probezeit, anzurechnen.</w:t>
      </w:r>
    </w:p>
    <w:p>
      <w:r>
        <w:t xml:space="preserve">(5) Nach Beendigung der Mitgliedschaft im Bundestag ist die Zeit der Mitgliedschaft auf Dienst- und Beschäftigungszeiten bei Arbeitnehmern des öffentlichen Dienstes anzurechnen; im Rahmen einer bestehenden zusätzlichen Alters- und Hinterbliebenenversorgung gilt dies nur im Hinblick auf Vorschriften, die die Anwartschaft oder den Anspruch dem Grunde nach regeln.</w:t>
      </w:r>
    </w:p>
    <w:p>
      <w:r>
        <w:rPr>
          <w:color w:val="555555"/>
          <w:sz w:val="17"/>
        </w:rPr>
        <w:t xml:space="preserve">Zitiervorschlag: § 7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