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AbgG — Wiederverwendung nach Beendigung des Mandats</w:t>
      </w:r>
    </w:p>
    <w:p>
      <w:r>
        <w:rPr>
          <w:color w:val="555555"/>
          <w:sz w:val="18"/>
        </w:rPr>
        <w:t xml:space="preserve">Abgeordnetengesetz</w:t>
      </w:r>
    </w:p>
    <w:p>
      <w:r>
        <w:rPr>
          <w:color w:val="555555"/>
          <w:sz w:val="18"/>
        </w:rPr>
        <w:t xml:space="preserve">Stand: 10.06.2019 (konsolidierte Textfassung, kein amtliches Inkrafttretensdatum)</w:t>
      </w:r>
    </w:p>
    <w:p>
      <w:r>
        <w:t xml:space="preserve">(1) Nach der Beendigung der Mitgliedschaft im Bundestag ruhen die in dem Dienstverhältnis eines Beamten begründeten Rechte und Pflichten für längstens weitere sechs Monate. Der Beamte ist auf seinen Antrag, der binnen drei Monaten seit der Beendigung der Mitgliedschaft zu stellen ist, spätestens drei Monate nach Antragstellung wieder in das frühere Dienstverhältnis zurückzuführen. Das ihm zu übertragende Amt muß derselben oder einer gleichwertigen Laufbahn angehören wie das zuletzt bekleidete Amt und mit mindestens demselben Endgrundgehalt ausgestattet sein. Vom Tage der Antragstellung an erhält er die Dienstbezüge des zuletzt bekleideten Amtes.</w:t>
      </w:r>
    </w:p>
    <w:p>
      <w:r>
        <w:t xml:space="preserve">(2) Stellt der Beamte nicht binnen drei Monaten seit der Beendigung der Mitgliedschaft im Bundestag einen Antrag nach Absatz 1, so ruhen die in dem Dienstverhältnis begründeten Rechte und Pflichten (§ 5 Abs. 1) weiter bis zum Eintritt oder bis zur Versetzung in den Ruhestand. Die oberste Dienstbehörde kann den Beamten jedoch, wenn er weder dem Bundestag mindestens zwei Wahlperioden angehört noch bei Beendigung der Mitgliedschaft im Bundestag das 55. Lebensjahr vollendet hat, unter Übertragung eines Amtes im Sinne des Absatzes 1 Satz 3 wieder in das frühere Dienstverhältnis zurückführen; lehnt der Beamte die Rückführung ab oder folgt er ihr nicht, so ist er entlassen. Satz 2 ist nicht anzuwenden, wenn der Beamte während der Dauer seiner Mitgliedschaft im Bundestag Mitglied der Bundesregierung gewesen ist.</w:t>
      </w:r>
    </w:p>
    <w:p>
      <w:r>
        <w:rPr>
          <w:color w:val="555555"/>
          <w:sz w:val="17"/>
        </w:rPr>
        <w:t xml:space="preserve">Zitiervorschlag: § 6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