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AbgG — Haushalts- und Wirtschaftsführung, Buchhaltung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Einzelheiten der Haushalts- und Wirtschaftsführung können in Ausführungsbestimmungen geregelt werden, die der Ältestenrat nach Anhörung des Bundesrechnungshofes erläßt.</w:t>
      </w:r>
    </w:p>
    <w:p>
      <w:r>
        <w:t xml:space="preserve">(2) Die Fraktionen haben Bücher über ihre rechnungslegungspflichtigen Einnahmen und Ausgaben sowie über ihr Vermögen zu führen. Dabei ist nach den Grundsätzen ordnungsgemäßer Buchführung unter Berücksichtigung des Gesetzeszwecks zu verfahren.</w:t>
      </w:r>
    </w:p>
    <w:p>
      <w:r>
        <w:t xml:space="preserve">(3) Aus den Geldleistungen nach § 58 Absatz 1 beschaffte Gegenstände sind, wenn sie nicht zum kurzfristigen Verbrauch bestimmt oder nur von geringem Wert sind, zu kennzeichnen und in einem Nachweis aufzuführen.</w:t>
      </w:r>
    </w:p>
    <w:p>
      <w:r>
        <w:t xml:space="preserve">(4) Die Rechnungsunterlagen sind fünf Jahre aufzubewahren.</w:t>
      </w:r>
    </w:p>
    <w:p>
      <w:r>
        <w:rPr>
          <w:color w:val="555555"/>
          <w:sz w:val="17"/>
        </w:rPr>
        <w:t xml:space="preserve">Zitiervorschlag: § 59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