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AbgG — Geld- und Sachleistungen</w:t>
      </w:r>
    </w:p>
    <w:p>
      <w:r>
        <w:rPr>
          <w:color w:val="555555"/>
          <w:sz w:val="18"/>
        </w:rPr>
        <w:t xml:space="preserve">Abgeordnetengesetz</w:t>
      </w:r>
    </w:p>
    <w:p>
      <w:r>
        <w:rPr>
          <w:color w:val="555555"/>
          <w:sz w:val="18"/>
        </w:rPr>
        <w:t xml:space="preserve">Stand: 04.01.2025 (konsolidierte Textfassung, kein amtliches Inkrafttretensdatum)</w:t>
      </w:r>
    </w:p>
    <w:p>
      <w:r>
        <w:t xml:space="preserve">(1) Die Fraktionen haben zur Erfüllung ihrer Aufgaben Anspruch auf Geld- und Sachleistungen aus dem Bundeshaushalt.</w:t>
      </w:r>
    </w:p>
    <w:p>
      <w:r>
        <w:t xml:space="preserve">(2) Die Geldleistungen setzen sich aus einem Grundbetrag für jede Fraktion, aus einem Betrag für jedes Mitglied und einem weiteren Zuschlag für jede Fraktion, die nicht die Bundesregierung trägt (Oppositionszuschlag), zusammen. Die Höhe dieser Beträge und des Oppositionszuschlages legt der Bundestag jährlich fest. Dazu erstattet der Präsident dem Bundestag im Benehmen mit dem Ältestenrat jeweils bis zum 30. September einen Bericht über die Angemessenheit der Beträge und des Oppositionszuschlages und legt zugleich einen Anpassungsvorschlag vor.</w:t>
      </w:r>
    </w:p>
    <w:p>
      <w:r>
        <w:t xml:space="preserve">(3) Die Sachleistungen werden nach Maßgabe des Haushaltsgesetzes zur Nutzung erbracht.</w:t>
      </w:r>
    </w:p>
    <w:p>
      <w:r>
        <w:t xml:space="preserve">(4) Leistungen nach Absatz 1 dürfen die Fraktionen nur für Aufgaben verwenden, die ihnen nach dem Grundgesetz, diesem Gesetz und der Geschäftsordnung des Deutschen Bundestages obliegen. Eine Verwendung für Parteiaufgaben ist unzulässig.</w:t>
      </w:r>
    </w:p>
    <w:p>
      <w:r>
        <w:t xml:space="preserve">(5) Eine rechtswidrige Verwendung der Geld- und Sachleistungen stellt der Ältestenrat nach Anhörung der betroffenen Fraktion fest. Die Feststellung wird als Drucksache veröffentlicht. Der Ältestenrat kann den Bundesrechnungshof in Einzelfällen ersuchen, die Rechtmäßigkeit der Verwendung von Geld- und Sachleistungen zu prüfen. Rechtswidrig verwendete Geld- und Sachleistungen sind an den Bundeshaushalt zurückzuführen. Der zu erstattende Betrag kann mit zukünftigen Leistungen nach Absatz 1 verrechnet werden. Als rechtswidrig festgestellte Maßnahmen sind unverzüglich einzustellen.</w:t>
      </w:r>
    </w:p>
    <w:p>
      <w:r>
        <w:t xml:space="preserve">(6) Geldleistungen nach Absatz 1 können auf neue Rechnung vorgetragen werden.</w:t>
      </w:r>
    </w:p>
    <w:p>
      <w:r>
        <w:rPr>
          <w:color w:val="555555"/>
          <w:sz w:val="17"/>
        </w:rPr>
        <w:t xml:space="preserve">Zitiervorschlag: § 58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