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AbgG — Organisation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Die Fraktionen sind verpflichtet, ihre Organisation und Arbeitsweise auf den Grundsätzen der parlamentarischen Demokratie aufzubauen und an diesen auszurichten.</w:t>
      </w:r>
    </w:p>
    <w:p>
      <w:r>
        <w:t xml:space="preserve">(2) Die Fraktionen geben sich eine eigene Geschäftsordnung.</w:t>
      </w:r>
    </w:p>
    <w:p>
      <w:r>
        <w:rPr>
          <w:color w:val="555555"/>
          <w:sz w:val="17"/>
        </w:rPr>
        <w:t xml:space="preserve">Zitiervorschlag: § 56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