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AbgG — Rechtsstellung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Die Fraktionen sind rechtsfähige Vereinigungen von Abgeordneten im Deutschen Bundestag.</w:t>
      </w:r>
    </w:p>
    <w:p>
      <w:r>
        <w:t xml:space="preserve">(2) Die Fraktionen können klagen und verklagt werden.</w:t>
      </w:r>
    </w:p>
    <w:p>
      <w:r>
        <w:t xml:space="preserve">(3) Die Fraktionen sind nicht Teil der öffentlichen Verwaltung; sie üben keine öffentliche Gewalt aus.</w:t>
      </w:r>
    </w:p>
    <w:p>
      <w:r>
        <w:rPr>
          <w:color w:val="555555"/>
          <w:sz w:val="17"/>
        </w:rPr>
        <w:t xml:space="preserve">Zitiervorschlag: § 54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