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AbgG — Interessenverknüpfung im Ausschuss</w:t>
      </w:r>
    </w:p>
    <w:p>
      <w:r>
        <w:rPr>
          <w:color w:val="555555"/>
          <w:sz w:val="18"/>
        </w:rPr>
        <w:t xml:space="preserve">Abgeordnetengesetz</w:t>
      </w:r>
    </w:p>
    <w:p>
      <w:r>
        <w:rPr>
          <w:color w:val="555555"/>
          <w:sz w:val="18"/>
        </w:rPr>
        <w:t xml:space="preserve">Stand: 04.01.2025 (konsolidierte Textfassung, kein amtliches Inkrafttretensdatum)</w:t>
      </w:r>
    </w:p>
    <w:p>
      <w:r>
        <w:t xml:space="preserve">Ein Mitglied des Bundestages, das entgeltlich mit einem Beratungsgegenstand beschäftigt ist, zu dem es in einem Ausschuss des Bundestages oder innerhalb einer Fraktion die Berichterstattung übernommen hat, hat vor einer Beratung in einem Ausschuss offenzulegen, wenn eine konkrete gegenwärtige oder zukünftige Interessenverknüpfung besteht. Sonstige an einer Ausschussberatung teilnehmende Mitglieder des Bundestages, die entgeltlich mit einem Beratungsgegenstand beschäftigt sind, haben eine konkrete Interessenverknüpfung offenzulegen, soweit sie nicht aus den gemäß § 47 veröffentlichten Angaben ersichtlich ist. Die Angaben nach Satz 1 und Satz 2 sind der oder dem Ausschussvorsitzenden mitzuteilen und werden in der Beschlussempfehlung des Ausschusses angemerkt.</w:t>
      </w:r>
    </w:p>
    <w:p>
      <w:r>
        <w:rPr>
          <w:color w:val="555555"/>
          <w:sz w:val="17"/>
        </w:rPr>
        <w:t xml:space="preserve">Zitiervorschlag: § 49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