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AbgG — Anrechnung von Zeiten für das Übergangsgeld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Zeiten der Mitgliedschaft im Bundestag, die vor Inkrafttreten dieses Gesetzes liegen, werden bei der Berechnung des Zeitraumes, für den Übergangsgeld zu zahlen ist, berücksichtigt.</w:t>
      </w:r>
    </w:p>
    <w:p>
      <w:r>
        <w:rPr>
          <w:color w:val="555555"/>
          <w:sz w:val="17"/>
        </w:rPr>
        <w:t xml:space="preserve">Zitiervorschlag: § 44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